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48" w:lineRule="auto"/>
        <w:jc w:val="center"/>
        <w:rPr>
          <w:rFonts w:hint="eastAsia" w:eastAsia="隶书"/>
          <w:bCs/>
          <w:color w:val="000000"/>
          <w:sz w:val="32"/>
          <w:szCs w:val="32"/>
        </w:rPr>
      </w:pPr>
      <w:r>
        <w:rPr>
          <w:rFonts w:ascii="宋体" w:hAnsi="宋体"/>
          <w:b/>
          <w:bCs/>
          <w:color w:val="000000"/>
          <w:sz w:val="48"/>
          <w:szCs w:val="48"/>
        </w:rPr>
        <w:drawing>
          <wp:inline distT="0" distB="0" distL="114300" distR="114300">
            <wp:extent cx="323215" cy="294005"/>
            <wp:effectExtent l="0" t="0" r="635" b="10795"/>
            <wp:docPr id="2" name="图片 1" descr="嘉泰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嘉泰标"/>
                    <pic:cNvPicPr>
                      <a:picLocks noChangeAspect="1"/>
                    </pic:cNvPicPr>
                  </pic:nvPicPr>
                  <pic:blipFill>
                    <a:blip r:embed="rId10"/>
                    <a:stretch>
                      <a:fillRect/>
                    </a:stretch>
                  </pic:blipFill>
                  <pic:spPr>
                    <a:xfrm>
                      <a:off x="0" y="0"/>
                      <a:ext cx="323215" cy="294005"/>
                    </a:xfrm>
                    <a:prstGeom prst="rect">
                      <a:avLst/>
                    </a:prstGeom>
                    <a:noFill/>
                    <a:ln>
                      <a:noFill/>
                    </a:ln>
                  </pic:spPr>
                </pic:pic>
              </a:graphicData>
            </a:graphic>
          </wp:inline>
        </w:drawing>
      </w:r>
      <w:r>
        <w:rPr>
          <w:rFonts w:ascii="宋体" w:hAnsi="宋体"/>
          <w:b/>
          <w:bCs/>
          <w:color w:val="000000"/>
          <w:sz w:val="48"/>
          <w:szCs w:val="48"/>
        </w:rPr>
        <w:drawing>
          <wp:inline distT="0" distB="0" distL="114300" distR="114300">
            <wp:extent cx="3395980" cy="400685"/>
            <wp:effectExtent l="0" t="0" r="13970" b="18415"/>
            <wp:docPr id="1" name="图片 2" descr="嘉泰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嘉泰字"/>
                    <pic:cNvPicPr>
                      <a:picLocks noChangeAspect="1"/>
                    </pic:cNvPicPr>
                  </pic:nvPicPr>
                  <pic:blipFill>
                    <a:blip r:embed="rId11"/>
                    <a:stretch>
                      <a:fillRect/>
                    </a:stretch>
                  </pic:blipFill>
                  <pic:spPr>
                    <a:xfrm>
                      <a:off x="0" y="0"/>
                      <a:ext cx="3395980" cy="400685"/>
                    </a:xfrm>
                    <a:prstGeom prst="rect">
                      <a:avLst/>
                    </a:prstGeom>
                    <a:noFill/>
                    <a:ln>
                      <a:noFill/>
                    </a:ln>
                  </pic:spPr>
                </pic:pic>
              </a:graphicData>
            </a:graphic>
          </wp:inline>
        </w:drawing>
      </w:r>
    </w:p>
    <w:p>
      <w:pPr>
        <w:snapToGrid w:val="0"/>
        <w:spacing w:line="348" w:lineRule="auto"/>
        <w:jc w:val="center"/>
        <w:rPr>
          <w:rFonts w:hint="eastAsia" w:ascii="黑体" w:eastAsia="黑体"/>
          <w:b/>
          <w:bCs/>
          <w:color w:val="000000"/>
          <w:sz w:val="48"/>
          <w:szCs w:val="48"/>
        </w:rPr>
      </w:pPr>
      <w:r>
        <w:rPr>
          <w:rFonts w:hint="eastAsia" w:ascii="黑体" w:eastAsia="黑体"/>
          <w:b/>
          <w:bCs/>
          <w:color w:val="000000"/>
          <w:sz w:val="48"/>
          <w:szCs w:val="48"/>
          <w:lang w:val="en-US" w:eastAsia="zh-CN"/>
        </w:rPr>
        <w:t xml:space="preserve"> </w:t>
      </w:r>
      <w:r>
        <w:rPr>
          <w:rFonts w:hint="eastAsia" w:ascii="黑体" w:eastAsia="黑体"/>
          <w:b/>
          <w:bCs/>
          <w:color w:val="000000"/>
          <w:sz w:val="48"/>
          <w:szCs w:val="48"/>
        </w:rPr>
        <w:t>20</w:t>
      </w:r>
      <w:r>
        <w:rPr>
          <w:rFonts w:hint="eastAsia" w:ascii="黑体" w:eastAsia="黑体"/>
          <w:b/>
          <w:bCs/>
          <w:color w:val="000000"/>
          <w:sz w:val="48"/>
          <w:szCs w:val="48"/>
          <w:lang w:val="en-US" w:eastAsia="zh-CN"/>
        </w:rPr>
        <w:t>20</w:t>
      </w:r>
      <w:r>
        <w:rPr>
          <w:rFonts w:hint="eastAsia" w:ascii="黑体" w:eastAsia="黑体"/>
          <w:b/>
          <w:bCs/>
          <w:color w:val="000000"/>
          <w:sz w:val="48"/>
          <w:szCs w:val="48"/>
        </w:rPr>
        <w:t>年</w:t>
      </w:r>
      <w:r>
        <w:rPr>
          <w:rFonts w:hint="eastAsia" w:ascii="黑体" w:eastAsia="黑体"/>
          <w:b/>
          <w:bCs/>
          <w:color w:val="000000"/>
          <w:sz w:val="48"/>
          <w:szCs w:val="48"/>
          <w:lang w:val="en-US" w:eastAsia="zh-CN"/>
        </w:rPr>
        <w:t>9月28</w:t>
      </w:r>
      <w:r>
        <w:rPr>
          <w:rFonts w:hint="eastAsia" w:ascii="黑体" w:eastAsia="黑体"/>
          <w:b/>
          <w:bCs/>
          <w:color w:val="000000"/>
          <w:sz w:val="48"/>
          <w:szCs w:val="48"/>
        </w:rPr>
        <w:t>日</w:t>
      </w:r>
      <w:r>
        <w:rPr>
          <w:rFonts w:hint="eastAsia" w:ascii="黑体" w:eastAsia="黑体"/>
          <w:b/>
          <w:bCs/>
          <w:color w:val="000000"/>
          <w:sz w:val="48"/>
          <w:szCs w:val="48"/>
          <w:lang w:eastAsia="zh-CN"/>
        </w:rPr>
        <w:t>下午</w:t>
      </w:r>
      <w:r>
        <w:rPr>
          <w:rFonts w:hint="eastAsia" w:ascii="黑体" w:eastAsia="黑体"/>
          <w:b/>
          <w:bCs/>
          <w:color w:val="000000"/>
          <w:sz w:val="48"/>
          <w:szCs w:val="48"/>
        </w:rPr>
        <w:t>拍卖会特别约定</w:t>
      </w:r>
    </w:p>
    <w:p>
      <w:pPr>
        <w:keepNext w:val="0"/>
        <w:keepLines w:val="0"/>
        <w:pageBreakBefore w:val="0"/>
        <w:widowControl w:val="0"/>
        <w:kinsoku/>
        <w:wordWrap/>
        <w:overflowPunct/>
        <w:topLinePunct w:val="0"/>
        <w:autoSpaceDE/>
        <w:autoSpaceDN/>
        <w:bidi w:val="0"/>
        <w:adjustRightInd/>
        <w:snapToGrid w:val="0"/>
        <w:spacing w:line="540" w:lineRule="exact"/>
        <w:ind w:right="0" w:firstLine="480" w:firstLineChars="200"/>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一、根据</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中华人民共和国拍卖法》等有关</w:t>
      </w:r>
      <w:r>
        <w:rPr>
          <w:rFonts w:hint="eastAsia" w:ascii="宋体" w:hAnsi="宋体" w:eastAsia="宋体" w:cs="宋体"/>
          <w:b w:val="0"/>
          <w:bCs w:val="0"/>
          <w:color w:val="000000" w:themeColor="text1"/>
          <w:sz w:val="24"/>
          <w:szCs w:val="24"/>
          <w:lang w:eastAsia="zh-CN"/>
          <w14:textFill>
            <w14:solidFill>
              <w14:schemeClr w14:val="tx1"/>
            </w14:solidFill>
          </w14:textFill>
        </w:rPr>
        <w:t>法律、</w:t>
      </w:r>
      <w:r>
        <w:rPr>
          <w:rFonts w:hint="eastAsia" w:ascii="宋体" w:hAnsi="宋体" w:eastAsia="宋体" w:cs="宋体"/>
          <w:b w:val="0"/>
          <w:bCs w:val="0"/>
          <w:color w:val="000000" w:themeColor="text1"/>
          <w:sz w:val="24"/>
          <w:szCs w:val="24"/>
          <w14:textFill>
            <w14:solidFill>
              <w14:schemeClr w14:val="tx1"/>
            </w14:solidFill>
          </w14:textFill>
        </w:rPr>
        <w:t>法规和委托人所提供的相关资料，结合拍卖标的</w:t>
      </w:r>
      <w:r>
        <w:rPr>
          <w:rFonts w:hint="eastAsia" w:ascii="宋体" w:hAnsi="宋体" w:eastAsia="宋体" w:cs="宋体"/>
          <w:b w:val="0"/>
          <w:bCs w:val="0"/>
          <w:color w:val="000000" w:themeColor="text1"/>
          <w:sz w:val="24"/>
          <w:szCs w:val="24"/>
          <w:lang w:eastAsia="zh-CN"/>
          <w14:textFill>
            <w14:solidFill>
              <w14:schemeClr w14:val="tx1"/>
            </w14:solidFill>
          </w14:textFill>
        </w:rPr>
        <w:t>的</w:t>
      </w:r>
      <w:r>
        <w:rPr>
          <w:rFonts w:hint="eastAsia" w:ascii="宋体" w:hAnsi="宋体" w:eastAsia="宋体" w:cs="宋体"/>
          <w:b w:val="0"/>
          <w:bCs w:val="0"/>
          <w:color w:val="000000" w:themeColor="text1"/>
          <w:sz w:val="24"/>
          <w:szCs w:val="24"/>
          <w14:textFill>
            <w14:solidFill>
              <w14:schemeClr w14:val="tx1"/>
            </w14:solidFill>
          </w14:textFill>
        </w:rPr>
        <w:t>实际情况，制定本特别约定。</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firstLine="480" w:firstLineChars="200"/>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二、敬请各位竞买人在标的展示期间认真咨询、实地勘察，并仔细阅读本次拍卖会所提供的相关资料及特别约定。</w:t>
      </w:r>
      <w:r>
        <w:rPr>
          <w:rFonts w:hint="eastAsia" w:ascii="宋体" w:hAnsi="宋体" w:eastAsia="宋体" w:cs="宋体"/>
          <w:b w:val="0"/>
          <w:bCs w:val="0"/>
          <w:color w:val="000000" w:themeColor="text1"/>
          <w:sz w:val="24"/>
          <w:szCs w:val="24"/>
          <w:lang w:eastAsia="zh-CN"/>
          <w14:textFill>
            <w14:solidFill>
              <w14:schemeClr w14:val="tx1"/>
            </w14:solidFill>
          </w14:textFill>
        </w:rPr>
        <w:t>竞买人</w:t>
      </w:r>
      <w:r>
        <w:rPr>
          <w:rFonts w:hint="eastAsia" w:ascii="宋体" w:hAnsi="宋体" w:eastAsia="宋体" w:cs="宋体"/>
          <w:b w:val="0"/>
          <w:bCs w:val="0"/>
          <w:color w:val="000000" w:themeColor="text1"/>
          <w:sz w:val="24"/>
          <w:szCs w:val="24"/>
          <w14:textFill>
            <w14:solidFill>
              <w14:schemeClr w14:val="tx1"/>
            </w14:solidFill>
          </w14:textFill>
        </w:rPr>
        <w:t>报名参与本次拍卖会竞买，即表明竞买人已勘察标的实物，完全了解标的情况和本</w:t>
      </w:r>
      <w:r>
        <w:rPr>
          <w:rFonts w:hint="eastAsia" w:ascii="宋体" w:hAnsi="宋体" w:eastAsia="宋体" w:cs="宋体"/>
          <w:b w:val="0"/>
          <w:bCs w:val="0"/>
          <w:color w:val="000000" w:themeColor="text1"/>
          <w:sz w:val="24"/>
          <w:szCs w:val="24"/>
          <w:lang w:eastAsia="zh-CN"/>
          <w14:textFill>
            <w14:solidFill>
              <w14:schemeClr w14:val="tx1"/>
            </w14:solidFill>
          </w14:textFill>
        </w:rPr>
        <w:t>特别</w:t>
      </w:r>
      <w:r>
        <w:rPr>
          <w:rFonts w:hint="eastAsia" w:ascii="宋体" w:hAnsi="宋体" w:eastAsia="宋体" w:cs="宋体"/>
          <w:b w:val="0"/>
          <w:bCs w:val="0"/>
          <w:color w:val="000000" w:themeColor="text1"/>
          <w:sz w:val="24"/>
          <w:szCs w:val="24"/>
          <w14:textFill>
            <w14:solidFill>
              <w14:schemeClr w14:val="tx1"/>
            </w14:solidFill>
          </w14:textFill>
        </w:rPr>
        <w:t>约定</w:t>
      </w:r>
      <w:r>
        <w:rPr>
          <w:rFonts w:hint="eastAsia" w:ascii="宋体" w:hAnsi="宋体" w:eastAsia="宋体" w:cs="宋体"/>
          <w:b w:val="0"/>
          <w:bCs w:val="0"/>
          <w:color w:val="000000" w:themeColor="text1"/>
          <w:sz w:val="24"/>
          <w:szCs w:val="24"/>
          <w:lang w:eastAsia="zh-CN"/>
          <w14:textFill>
            <w14:solidFill>
              <w14:schemeClr w14:val="tx1"/>
            </w14:solidFill>
          </w14:textFill>
        </w:rPr>
        <w:t>及附件的</w:t>
      </w:r>
      <w:r>
        <w:rPr>
          <w:rFonts w:hint="eastAsia" w:ascii="宋体" w:hAnsi="宋体" w:eastAsia="宋体" w:cs="宋体"/>
          <w:b w:val="0"/>
          <w:bCs w:val="0"/>
          <w:color w:val="000000" w:themeColor="text1"/>
          <w:sz w:val="24"/>
          <w:szCs w:val="24"/>
          <w14:textFill>
            <w14:solidFill>
              <w14:schemeClr w14:val="tx1"/>
            </w14:solidFill>
          </w14:textFill>
        </w:rPr>
        <w:t>所有条款。竞买成功后，不得以未咨询或对标的不了解而提出异议或反悔。</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三、竞买人须具有废旧金属回收公司营业执照，并具有</w:t>
      </w:r>
      <w:r>
        <w:rPr>
          <w:rFonts w:hint="eastAsia" w:ascii="宋体" w:hAnsi="宋体" w:eastAsia="宋体" w:cs="宋体"/>
          <w:b w:val="0"/>
          <w:bCs w:val="0"/>
          <w:color w:val="000000" w:themeColor="text1"/>
          <w:sz w:val="24"/>
          <w:szCs w:val="24"/>
          <w14:textFill>
            <w14:solidFill>
              <w14:schemeClr w14:val="tx1"/>
            </w14:solidFill>
          </w14:textFill>
        </w:rPr>
        <w:t>省</w:t>
      </w:r>
      <w:r>
        <w:rPr>
          <w:rFonts w:hint="eastAsia" w:ascii="宋体" w:hAnsi="宋体" w:eastAsia="宋体" w:cs="宋体"/>
          <w:b w:val="0"/>
          <w:bCs w:val="0"/>
          <w:color w:val="000000" w:themeColor="text1"/>
          <w:sz w:val="24"/>
          <w:szCs w:val="24"/>
          <w:lang w:eastAsia="zh-CN"/>
          <w14:textFill>
            <w14:solidFill>
              <w14:schemeClr w14:val="tx1"/>
            </w14:solidFill>
          </w14:textFill>
        </w:rPr>
        <w:t>级、部级</w:t>
      </w:r>
      <w:r>
        <w:rPr>
          <w:rFonts w:hint="eastAsia" w:ascii="宋体" w:hAnsi="宋体" w:eastAsia="宋体" w:cs="宋体"/>
          <w:b w:val="0"/>
          <w:bCs w:val="0"/>
          <w:color w:val="000000" w:themeColor="text1"/>
          <w:sz w:val="24"/>
          <w:szCs w:val="24"/>
          <w14:textFill>
            <w14:solidFill>
              <w14:schemeClr w14:val="tx1"/>
            </w14:solidFill>
          </w14:textFill>
        </w:rPr>
        <w:t>住建部门颁发的石油化工工程施工总承包</w:t>
      </w:r>
      <w:r>
        <w:rPr>
          <w:rFonts w:hint="eastAsia" w:ascii="宋体" w:hAnsi="宋体" w:eastAsia="宋体" w:cs="宋体"/>
          <w:b w:val="0"/>
          <w:bCs w:val="0"/>
          <w:color w:val="000000" w:themeColor="text1"/>
          <w:sz w:val="24"/>
          <w:szCs w:val="24"/>
          <w:lang w:eastAsia="zh-CN"/>
          <w14:textFill>
            <w14:solidFill>
              <w14:schemeClr w14:val="tx1"/>
            </w14:solidFill>
          </w14:textFill>
        </w:rPr>
        <w:t>和</w:t>
      </w:r>
      <w:r>
        <w:rPr>
          <w:rFonts w:hint="eastAsia" w:ascii="宋体" w:hAnsi="宋体" w:eastAsia="宋体" w:cs="宋体"/>
          <w:b w:val="0"/>
          <w:bCs w:val="0"/>
          <w:color w:val="000000" w:themeColor="text1"/>
          <w:sz w:val="24"/>
          <w:szCs w:val="24"/>
          <w14:textFill>
            <w14:solidFill>
              <w14:schemeClr w14:val="tx1"/>
            </w14:solidFill>
          </w14:textFill>
        </w:rPr>
        <w:t>建筑工程施工总承包</w:t>
      </w:r>
      <w:r>
        <w:rPr>
          <w:rFonts w:hint="eastAsia" w:ascii="宋体" w:hAnsi="宋体" w:eastAsia="宋体" w:cs="宋体"/>
          <w:b w:val="0"/>
          <w:bCs w:val="0"/>
          <w:color w:val="000000" w:themeColor="text1"/>
          <w:sz w:val="24"/>
          <w:szCs w:val="24"/>
          <w:lang w:eastAsia="zh-CN"/>
          <w14:textFill>
            <w14:solidFill>
              <w14:schemeClr w14:val="tx1"/>
            </w14:solidFill>
          </w14:textFill>
        </w:rPr>
        <w:t>二</w:t>
      </w:r>
      <w:r>
        <w:rPr>
          <w:rFonts w:hint="eastAsia" w:ascii="宋体" w:hAnsi="宋体" w:eastAsia="宋体" w:cs="宋体"/>
          <w:b w:val="0"/>
          <w:bCs w:val="0"/>
          <w:color w:val="000000" w:themeColor="text1"/>
          <w:sz w:val="24"/>
          <w:szCs w:val="24"/>
          <w14:textFill>
            <w14:solidFill>
              <w14:schemeClr w14:val="tx1"/>
            </w14:solidFill>
          </w14:textFill>
        </w:rPr>
        <w:t>级及</w:t>
      </w:r>
      <w:r>
        <w:rPr>
          <w:rFonts w:hint="eastAsia" w:ascii="宋体" w:hAnsi="宋体" w:eastAsia="宋体" w:cs="宋体"/>
          <w:b w:val="0"/>
          <w:bCs w:val="0"/>
          <w:color w:val="000000" w:themeColor="text1"/>
          <w:sz w:val="24"/>
          <w:szCs w:val="24"/>
          <w:lang w:eastAsia="zh-CN"/>
          <w14:textFill>
            <w14:solidFill>
              <w14:schemeClr w14:val="tx1"/>
            </w14:solidFill>
          </w14:textFill>
        </w:rPr>
        <w:t>二</w:t>
      </w:r>
      <w:r>
        <w:rPr>
          <w:rFonts w:hint="eastAsia" w:ascii="宋体" w:hAnsi="宋体" w:eastAsia="宋体" w:cs="宋体"/>
          <w:b w:val="0"/>
          <w:bCs w:val="0"/>
          <w:color w:val="000000" w:themeColor="text1"/>
          <w:sz w:val="24"/>
          <w:szCs w:val="24"/>
          <w14:textFill>
            <w14:solidFill>
              <w14:schemeClr w14:val="tx1"/>
            </w14:solidFill>
          </w14:textFill>
        </w:rPr>
        <w:t>级以上资质</w:t>
      </w:r>
      <w:r>
        <w:rPr>
          <w:rFonts w:hint="eastAsia" w:ascii="宋体" w:hAnsi="宋体" w:eastAsia="宋体" w:cs="宋体"/>
          <w:b w:val="0"/>
          <w:bCs w:val="0"/>
          <w:color w:val="000000" w:themeColor="text1"/>
          <w:sz w:val="24"/>
          <w:szCs w:val="24"/>
          <w:lang w:eastAsia="zh-CN"/>
          <w14:textFill>
            <w14:solidFill>
              <w14:schemeClr w14:val="tx1"/>
            </w14:solidFill>
          </w14:textFill>
        </w:rPr>
        <w:t>；或具有上述营业执照和资质的企业联合体。</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firstLine="480" w:firstLineChars="200"/>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四、按规定交纳竞买保证金并办理报名手续、签署《竞买协议》的竞买人，方可参加竞买；竞买人如提供虚假营业执照或资质的，竞买人须承担法律责任及经济责任。</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firstLine="480" w:firstLineChars="200"/>
        <w:textAlignment w:val="auto"/>
        <w:outlineLvl w:val="9"/>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五</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eastAsia="zh-CN"/>
          <w14:textFill>
            <w14:solidFill>
              <w14:schemeClr w14:val="tx1"/>
            </w14:solidFill>
          </w14:textFill>
        </w:rPr>
        <w:t>本次</w:t>
      </w:r>
      <w:r>
        <w:rPr>
          <w:rFonts w:hint="eastAsia" w:ascii="宋体" w:hAnsi="宋体" w:eastAsia="宋体" w:cs="宋体"/>
          <w:b w:val="0"/>
          <w:bCs w:val="0"/>
          <w:color w:val="000000" w:themeColor="text1"/>
          <w:sz w:val="24"/>
          <w:szCs w:val="24"/>
          <w14:textFill>
            <w14:solidFill>
              <w14:schemeClr w14:val="tx1"/>
            </w14:solidFill>
          </w14:textFill>
        </w:rPr>
        <w:t>拍卖采用有保留价的增价拍卖方式。</w:t>
      </w:r>
      <w:r>
        <w:rPr>
          <w:rFonts w:hint="eastAsia" w:ascii="宋体" w:hAnsi="宋体" w:eastAsia="宋体" w:cs="宋体"/>
          <w:b w:val="0"/>
          <w:bCs w:val="0"/>
          <w:color w:val="000000" w:themeColor="text1"/>
          <w:sz w:val="24"/>
          <w:szCs w:val="24"/>
          <w:lang w:eastAsia="zh-CN"/>
          <w14:textFill>
            <w14:solidFill>
              <w14:schemeClr w14:val="tx1"/>
            </w14:solidFill>
          </w14:textFill>
        </w:rPr>
        <w:t>拍卖未达到保留价时，拍卖师可以公开保留价。</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right="0" w:rightChars="0" w:firstLine="480" w:firstLineChars="200"/>
        <w:jc w:val="left"/>
        <w:textAlignment w:val="auto"/>
        <w:outlineLvl w:val="9"/>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六、在竞买开始前，委托人决定中止、暂缓或终止委托拍卖的，竞买人应当无条件予以接受，竞买人不得向委托人和拍卖人提出任何补偿，委托人、拍卖人均不承担任何责任和费用，竞买保证金不计息退还。</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right="0" w:rightChars="0" w:firstLine="480" w:firstLineChars="200"/>
        <w:jc w:val="left"/>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七、拍卖范围：浙江交通科技股份有限公司（原江山化工）位于江山基地厂区内的设备及其配套建筑物、构筑物拆除，包括N,N-二甲基甲酰胺(DMF)装置2套；N,N-二甲基乙酰胺(DMAC)装置2套；混甲胺装置2套；合成氨装置1套；甲醇钠甲醇溶液装置1套；环氧树脂装置1套；自备热电厂设备等；上述装置的配套建筑物与构筑物拆除。</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right="0" w:rightChars="0" w:firstLine="480" w:firstLineChars="200"/>
        <w:jc w:val="left"/>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不包括在拍卖范围内的物品：</w: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b w:val="0"/>
          <w:bCs w:val="0"/>
          <w:color w:val="000000" w:themeColor="text1"/>
          <w:sz w:val="24"/>
          <w:szCs w:val="24"/>
          <w:lang w:val="en-US" w:eastAsia="zh-CN"/>
          <w14:textFill>
            <w14:solidFill>
              <w14:schemeClr w14:val="tx1"/>
            </w14:solidFill>
          </w14:textFill>
        </w:rPr>
        <w:instrText xml:space="preserve"> = 1 \* GB2 \* MERGEFORMAT </w:instrTex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⑴</w: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end"/>
      </w:r>
      <w:r>
        <w:rPr>
          <w:rFonts w:hint="eastAsia" w:ascii="宋体" w:hAnsi="宋体" w:eastAsia="宋体" w:cs="宋体"/>
          <w:b w:val="0"/>
          <w:bCs w:val="0"/>
          <w:color w:val="000000" w:themeColor="text1"/>
          <w:sz w:val="24"/>
          <w:szCs w:val="24"/>
          <w:lang w:val="en-US" w:eastAsia="zh-CN"/>
          <w14:textFill>
            <w14:solidFill>
              <w14:schemeClr w14:val="tx1"/>
            </w14:solidFill>
          </w14:textFill>
        </w:rPr>
        <w:t>厂区内所有绿化植被、树木。</w: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b w:val="0"/>
          <w:bCs w:val="0"/>
          <w:color w:val="000000" w:themeColor="text1"/>
          <w:sz w:val="24"/>
          <w:szCs w:val="24"/>
          <w:lang w:val="en-US" w:eastAsia="zh-CN"/>
          <w14:textFill>
            <w14:solidFill>
              <w14:schemeClr w14:val="tx1"/>
            </w14:solidFill>
          </w14:textFill>
        </w:rPr>
        <w:instrText xml:space="preserve"> = 2 \* GB2 \* MERGEFORMAT </w:instrTex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⑵</w: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end"/>
      </w:r>
      <w:r>
        <w:rPr>
          <w:rFonts w:hint="eastAsia" w:ascii="宋体" w:hAnsi="宋体" w:eastAsia="宋体" w:cs="宋体"/>
          <w:b w:val="0"/>
          <w:bCs w:val="0"/>
          <w:color w:val="000000" w:themeColor="text1"/>
          <w:sz w:val="24"/>
          <w:szCs w:val="24"/>
          <w:lang w:val="en-US" w:eastAsia="zh-CN"/>
          <w14:textFill>
            <w14:solidFill>
              <w14:schemeClr w14:val="tx1"/>
            </w14:solidFill>
          </w14:textFill>
        </w:rPr>
        <w:t>公司办公楼及相关设施、门卫传达室、厂界围墙。</w: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begin"/>
      </w:r>
      <w:r>
        <w:rPr>
          <w:rFonts w:hint="eastAsia" w:ascii="宋体" w:hAnsi="宋体" w:eastAsia="宋体" w:cs="宋体"/>
          <w:b w:val="0"/>
          <w:bCs w:val="0"/>
          <w:color w:val="000000" w:themeColor="text1"/>
          <w:sz w:val="24"/>
          <w:szCs w:val="24"/>
          <w:lang w:val="en-US" w:eastAsia="zh-CN"/>
          <w14:textFill>
            <w14:solidFill>
              <w14:schemeClr w14:val="tx1"/>
            </w14:solidFill>
          </w14:textFill>
        </w:rPr>
        <w:instrText xml:space="preserve"> = 3 \* GB2 \* MERGEFORMAT </w:instrTex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separate"/>
      </w:r>
      <w:r>
        <w:rPr>
          <w:rFonts w:hint="eastAsia" w:ascii="宋体" w:hAnsi="宋体" w:eastAsia="宋体" w:cs="宋体"/>
          <w:b w:val="0"/>
          <w:bCs w:val="0"/>
          <w:color w:val="000000" w:themeColor="text1"/>
          <w:sz w:val="24"/>
          <w:szCs w:val="24"/>
          <w14:textFill>
            <w14:solidFill>
              <w14:schemeClr w14:val="tx1"/>
            </w14:solidFill>
          </w14:textFill>
        </w:rPr>
        <w:t>⑶</w:t>
      </w:r>
      <w:r>
        <w:rPr>
          <w:rFonts w:hint="eastAsia" w:ascii="宋体" w:hAnsi="宋体" w:eastAsia="宋体" w:cs="宋体"/>
          <w:b w:val="0"/>
          <w:bCs w:val="0"/>
          <w:color w:val="000000" w:themeColor="text1"/>
          <w:sz w:val="24"/>
          <w:szCs w:val="24"/>
          <w:lang w:val="en-US" w:eastAsia="zh-CN"/>
          <w14:textFill>
            <w14:solidFill>
              <w14:schemeClr w14:val="tx1"/>
            </w14:solidFill>
          </w14:textFill>
        </w:rPr>
        <w:fldChar w:fldCharType="end"/>
      </w:r>
      <w:r>
        <w:rPr>
          <w:rFonts w:hint="eastAsia" w:ascii="宋体" w:hAnsi="宋体" w:eastAsia="宋体" w:cs="宋体"/>
          <w:b w:val="0"/>
          <w:bCs w:val="0"/>
          <w:color w:val="000000" w:themeColor="text1"/>
          <w:sz w:val="24"/>
          <w:szCs w:val="24"/>
          <w:lang w:val="en-US" w:eastAsia="zh-CN"/>
          <w14:textFill>
            <w14:solidFill>
              <w14:schemeClr w14:val="tx1"/>
            </w14:solidFill>
          </w14:textFill>
        </w:rPr>
        <w:t>上述标的的图纸及其它资料、配套系统以及相应的专利技术、专有技术等技术秘密等。</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480" w:firstLineChars="200"/>
        <w:textAlignment w:val="auto"/>
        <w:outlineLvl w:val="9"/>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八、</w:t>
      </w:r>
      <w:r>
        <w:rPr>
          <w:rFonts w:hint="eastAsia" w:ascii="宋体" w:hAnsi="宋体" w:eastAsia="宋体" w:cs="宋体"/>
          <w:b w:val="0"/>
          <w:bCs w:val="0"/>
          <w:color w:val="000000" w:themeColor="text1"/>
          <w:sz w:val="24"/>
          <w:szCs w:val="24"/>
          <w14:textFill>
            <w14:solidFill>
              <w14:schemeClr w14:val="tx1"/>
            </w14:solidFill>
          </w14:textFill>
        </w:rPr>
        <w:t>标的</w:t>
      </w:r>
      <w:r>
        <w:rPr>
          <w:rFonts w:hint="eastAsia" w:ascii="宋体" w:hAnsi="宋体" w:eastAsia="宋体" w:cs="宋体"/>
          <w:b w:val="0"/>
          <w:bCs w:val="0"/>
          <w:color w:val="000000" w:themeColor="text1"/>
          <w:sz w:val="24"/>
          <w:szCs w:val="24"/>
          <w:lang w:eastAsia="zh-CN"/>
          <w14:textFill>
            <w14:solidFill>
              <w14:schemeClr w14:val="tx1"/>
            </w14:solidFill>
          </w14:textFill>
        </w:rPr>
        <w:t>物的</w:t>
      </w:r>
      <w:r>
        <w:rPr>
          <w:rFonts w:hint="eastAsia" w:ascii="宋体" w:hAnsi="宋体" w:eastAsia="宋体" w:cs="宋体"/>
          <w:b w:val="0"/>
          <w:bCs w:val="0"/>
          <w:color w:val="000000" w:themeColor="text1"/>
          <w:sz w:val="24"/>
          <w:szCs w:val="24"/>
          <w14:textFill>
            <w14:solidFill>
              <w14:schemeClr w14:val="tx1"/>
            </w14:solidFill>
          </w14:textFill>
        </w:rPr>
        <w:t>名称、规格、质量、重量、完整性等，以现场交付实物为准。若与展示说明或资料内容不符的</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不影响拍卖成交价格。</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九、委托人、拍卖人声明不提供设备生产厂家发票，不提供对标的拆除、安装、使用的任何服务，不保证标的的完整性和可使用性，不提供任何相关技术资料。若标的需重新投入使用的，一切责任由买受人自行承担，与委托人、拍卖人无关。</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买受人须严格遵守《浙江交通科技股份有限公司江山基地拆除的安全管理规定》（见附件）和《浙江交通科技股份有限公司拆除活动污染防治方案》、《浙江交通科技股份有限公司拆除活动环境应急预案》（电子版备索）。买受人在拆除工程施工前，应对全部设备及周围场所进行全面检查，并制定出详细的拆除处置方案，拆除处置方案中要有塔、热电烟囱等专项施工方案，经施工单位安全负责人确认，报委托人与江山市应急管理局备案后，买受人方可施工。</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十一、买受人进场施工前，须签订《拆运安全和环保责任承诺书》，明确拆运作业中所发生的各类安全和环保事故责任由买受人承担，包括一切经济和法律责任，事故造成的损失和赔偿全部由买受人承担。</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十二、标的移交前，委托人已对装置设备管道进行清洗置换。买受人进场作业前要对整个装置进行仔细检查，确认作业风险已排除后，方可施工。</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十三、买受人进场施工前，整个装置区域已停水、停电，买受人必须配备相应的消防措施保障施工动火安全。</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十四、拍卖范围内的所有标的物须拆至±0.00平面，确因拆运需要损毁道路、地下构筑物等其他部分的须得到委托人的书面确认。</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十五、不在拍卖标的范围内的设备、物品，如被买受人拉走或损坏的，处罚设备、物品原值两倍的罚金，从拆运安全环保保证金中扣除。</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六、拍卖标的拆运过程中的生活垃圾、建筑垃圾由买受人分拣后，符合垃圾处置条件的，由江山市住建局负责协调，其中生活垃圾由江山市住建局协助联系环卫处免费清运至衢州生活垃圾焚烧发电项目，建筑垃圾由江山市住建局协助联系江山市建筑垃圾资源化处理中心进行资源化利用。一般固废、危险固废及其他废弃物由买受人依法处置，并接受委托人监督。过程中所产生的所有税费及环保责任均由买受人承担。</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十七、作业时间外，作业人员不得进入厂区，不得在厂内留宿。</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十八、买受人对拍卖标的不得转包、分包。</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十九、拍卖成交后实物交付前，标的由委托人与买受人共同监管；标的交付后，保管责任即转移至买受人，直至标的全部拆运完毕，期间因保管、拆卸、搬运过程中所发生的所有费用及防盗等一切责任（包括由此造成的经济责任和法律责任）均由买受人承担。标的全部拆、运、清理完毕后，买受人凭委托人书面通知到本公司退回拆运安全环保保证金（不计息），涉及扣罚款项的，结算后退还余款。</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二十、委托人有权对施工过程进行监督管理。可以实施警告、经济处罚、停工整改等措施，由此造成的工期延误、停工损失等一切后果由买受人承担。</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二十一、拍卖成交价为含税价，委托人依照税法规定，为买受人出具税率为13%的增值税专用发票，标的发票中的物品名称为“废旧金属”，不标注重量。</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二十二、买受人承担拍卖佣金比例为拍卖成交价的1.2%。</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二十三、拍卖款项交清时间：买受人须在2020年10月20日前将全额拍卖价款减去2000万元交至委托人指定账户，并将拍卖佣金交至拍卖人指定账户。在此前提下，</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0" w:firstLineChars="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买受人的竞买保证金3000万元，其中1000万元转为买受人的拆运安全环保保证金，2000万元转为买受人的拍卖价款。</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买受人不能按时</w:t>
      </w:r>
      <w:r>
        <w:rPr>
          <w:rFonts w:hint="eastAsia" w:ascii="宋体" w:hAnsi="宋体" w:eastAsia="宋体" w:cs="宋体"/>
          <w:b w:val="0"/>
          <w:bCs w:val="0"/>
          <w:color w:val="000000" w:themeColor="text1"/>
          <w:sz w:val="24"/>
          <w:szCs w:val="24"/>
          <w:lang w:eastAsia="zh-CN"/>
          <w14:textFill>
            <w14:solidFill>
              <w14:schemeClr w14:val="tx1"/>
            </w14:solidFill>
          </w14:textFill>
        </w:rPr>
        <w:t>交</w:t>
      </w:r>
      <w:r>
        <w:rPr>
          <w:rFonts w:hint="eastAsia" w:ascii="宋体" w:hAnsi="宋体" w:eastAsia="宋体" w:cs="宋体"/>
          <w:b w:val="0"/>
          <w:bCs w:val="0"/>
          <w:color w:val="000000" w:themeColor="text1"/>
          <w:sz w:val="24"/>
          <w:szCs w:val="24"/>
          <w14:textFill>
            <w14:solidFill>
              <w14:schemeClr w14:val="tx1"/>
            </w14:solidFill>
          </w14:textFill>
        </w:rPr>
        <w:t>清</w:t>
      </w:r>
      <w:r>
        <w:rPr>
          <w:rFonts w:hint="eastAsia" w:ascii="宋体" w:hAnsi="宋体" w:eastAsia="宋体" w:cs="宋体"/>
          <w:b w:val="0"/>
          <w:bCs w:val="0"/>
          <w:color w:val="000000" w:themeColor="text1"/>
          <w:sz w:val="24"/>
          <w:szCs w:val="24"/>
          <w:lang w:eastAsia="zh-CN"/>
          <w14:textFill>
            <w14:solidFill>
              <w14:schemeClr w14:val="tx1"/>
            </w14:solidFill>
          </w14:textFill>
        </w:rPr>
        <w:t>上述款项的</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应向拍卖人支付逾期部分款项每日万分之五的滞纳金。超过上述规定期限五日仍未交清所有款项的，拍卖人可单方解除拍卖标的成交合同，竞买保证金不予返还，并按《中华人民共和国拍卖法》等有关规定追究买受人的违约责任。</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二十四、标的实物交付时间：买受人缴清全额拍卖价款、拍卖佣金后，由委托人在五个工作日内负责在标的存放地将标的实物按现状直接交付给买受人，并签订实物交接单。</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二十五、买受人须在实物交付后180天内拆运完毕，每逾期一天，按20万元/天扣除拆运安全环保保证金，逾期超过十天，委托人有权重新处置，由此产生的责任及损失由买受人承担。</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二十六、根据《中华人民共和国拍卖法》的规定，本公司已将知道的拍卖标的瑕疵向竞买人说明，但委托人、拍卖人声明：对本次拍卖的标的不承担瑕疵担保责任。</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二十七、未竞买成功的竞买人，拍卖会结束后三个工作日内竞买保证金如数退还（不计利息）。</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二十八、争议解决方式：在合同履行过程中发生争议的，按照《中华人民共和国拍卖法》、《浙江嘉泰拍卖有限公司拍卖规则》及上述约定，由当事人协商解决；协商不成，依法向拍卖人所在地人民法院起诉。</w:t>
      </w: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40" w:lineRule="exact"/>
        <w:ind w:right="0" w:rightChars="0" w:firstLine="480" w:firstLineChars="200"/>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40" w:lineRule="exact"/>
        <w:ind w:right="0" w:rightChars="0"/>
        <w:jc w:val="right"/>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浙江嘉泰拍卖有限公司 </w:t>
      </w:r>
    </w:p>
    <w:p>
      <w:pPr>
        <w:keepNext w:val="0"/>
        <w:keepLines w:val="0"/>
        <w:pageBreakBefore w:val="0"/>
        <w:widowControl w:val="0"/>
        <w:kinsoku/>
        <w:wordWrap/>
        <w:overflowPunct/>
        <w:topLinePunct w:val="0"/>
        <w:autoSpaceDE/>
        <w:autoSpaceDN/>
        <w:bidi w:val="0"/>
        <w:adjustRightInd/>
        <w:snapToGrid w:val="0"/>
        <w:spacing w:line="540" w:lineRule="exact"/>
        <w:ind w:right="0" w:rightChars="0"/>
        <w:jc w:val="right"/>
        <w:textAlignment w:val="auto"/>
        <w:outlineLvl w:val="9"/>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二〇二〇年八月三十一日</w:t>
      </w:r>
    </w:p>
    <w:p>
      <w:pPr>
        <w:rPr>
          <w:color w:val="000000" w:themeColor="text1"/>
          <w14:textFill>
            <w14:solidFill>
              <w14:schemeClr w14:val="tx1"/>
            </w14:solidFill>
          </w14:textFill>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7" w:h="16840"/>
      <w:pgMar w:top="1474" w:right="1474" w:bottom="1361" w:left="1474" w:header="851" w:footer="851"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rPr>
    </w:pPr>
  </w:p>
  <w:p>
    <w:pPr>
      <w:pStyle w:val="2"/>
      <w:jc w:val="center"/>
      <w:rPr>
        <w:rFonts w:hint="eastAsia"/>
        <w:kern w:val="0"/>
        <w:szCs w:val="21"/>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C1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2020-09-01T03:33:20Z</dcterms:created>
  <dc:creator>Administrator</dc:creator>
  <cp:lastModifiedBy>Administrator</cp:lastModifiedBy>
  <dcterms:modified xsi:type="dcterms:W3CDTF">2020-09-01T03:33:51Z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